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r w:rsidR="00225626">
        <w:rPr>
          <w:b/>
          <w:bCs/>
        </w:rPr>
        <w:t xml:space="preserve"> </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2C7CEB">
        <w:rPr>
          <w:b/>
          <w:szCs w:val="18"/>
        </w:rPr>
        <w:t>Пластика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4027E5"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4027E5"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4027E5"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4027E5"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4027E5"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4027E5" w:rsidRDefault="00E61DF3" w:rsidP="00E61DF3">
      <w:pPr>
        <w:tabs>
          <w:tab w:val="num" w:pos="0"/>
        </w:tabs>
        <w:spacing w:line="240" w:lineRule="auto"/>
        <w:ind w:firstLine="0"/>
        <w:rPr>
          <w:sz w:val="24"/>
        </w:rPr>
      </w:pPr>
      <w:r w:rsidRPr="00BA08E8">
        <w:rPr>
          <w:b/>
          <w:sz w:val="24"/>
          <w:szCs w:val="24"/>
        </w:rPr>
        <w:t>1.2 Организатор</w:t>
      </w:r>
      <w:r w:rsidRPr="00BA08E8">
        <w:rPr>
          <w:sz w:val="24"/>
          <w:szCs w:val="24"/>
        </w:rPr>
        <w:t xml:space="preserve"> -  </w:t>
      </w:r>
      <w:bookmarkStart w:id="1" w:name="_GoBack"/>
      <w:r w:rsidR="004027E5">
        <w:rPr>
          <w:sz w:val="24"/>
          <w:szCs w:val="24"/>
        </w:rPr>
        <w:t>БПЗП</w:t>
      </w:r>
      <w:r w:rsidR="004027E5" w:rsidRPr="00BA08E8">
        <w:rPr>
          <w:sz w:val="24"/>
          <w:szCs w:val="24"/>
        </w:rPr>
        <w:t>, контактное лицо –</w:t>
      </w:r>
      <w:r w:rsidR="004027E5">
        <w:rPr>
          <w:sz w:val="24"/>
          <w:szCs w:val="24"/>
        </w:rPr>
        <w:t xml:space="preserve"> </w:t>
      </w:r>
      <w:r w:rsidR="004027E5">
        <w:rPr>
          <w:sz w:val="24"/>
        </w:rPr>
        <w:t>Абдрашикова Нататлья Павловна, ведущий специалист</w:t>
      </w:r>
      <w:r w:rsidR="004027E5" w:rsidRPr="00E81EFA">
        <w:rPr>
          <w:sz w:val="24"/>
        </w:rPr>
        <w:t xml:space="preserve">, тел.: </w:t>
      </w:r>
      <w:r w:rsidR="004027E5">
        <w:rPr>
          <w:sz w:val="24"/>
        </w:rPr>
        <w:t>+7(8342)79-89-00 доб. 11-43</w:t>
      </w:r>
      <w:r w:rsidR="004027E5" w:rsidRPr="00E81EFA">
        <w:rPr>
          <w:sz w:val="24"/>
        </w:rPr>
        <w:t xml:space="preserve">, e-mail: </w:t>
      </w:r>
      <w:hyperlink r:id="rId8" w:history="1">
        <w:r w:rsidR="004027E5" w:rsidRPr="002D75AC">
          <w:rPr>
            <w:rStyle w:val="a3"/>
            <w:sz w:val="24"/>
            <w:lang w:val="en-US"/>
          </w:rPr>
          <w:t>anp</w:t>
        </w:r>
        <w:r w:rsidR="004027E5" w:rsidRPr="002D75AC">
          <w:rPr>
            <w:rStyle w:val="a3"/>
            <w:sz w:val="24"/>
          </w:rPr>
          <w:t>@saransktv.ru</w:t>
        </w:r>
      </w:hyperlink>
      <w:r w:rsidR="004027E5">
        <w:rPr>
          <w:sz w:val="24"/>
        </w:rPr>
        <w:t>.</w:t>
      </w:r>
    </w:p>
    <w:bookmarkEnd w:id="1"/>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1A3BB5">
        <w:rPr>
          <w:sz w:val="24"/>
          <w:szCs w:val="24"/>
          <w:highlight w:val="yellow"/>
        </w:rPr>
        <w:t xml:space="preserve">на </w:t>
      </w:r>
      <w:r w:rsidRPr="001A3BB5">
        <w:rPr>
          <w:color w:val="000000"/>
          <w:sz w:val="24"/>
          <w:szCs w:val="24"/>
          <w:highlight w:val="yellow"/>
        </w:rPr>
        <w:t xml:space="preserve">ящик электронной почты </w:t>
      </w:r>
      <w:hyperlink r:id="rId9" w:history="1">
        <w:r w:rsidRPr="001A3BB5">
          <w:rPr>
            <w:rStyle w:val="a3"/>
            <w:sz w:val="24"/>
            <w:szCs w:val="24"/>
            <w:highlight w:val="yellow"/>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w:t>
      </w:r>
      <w:r w:rsidR="000E53E8">
        <w:rPr>
          <w:b/>
          <w:sz w:val="24"/>
          <w:szCs w:val="24"/>
          <w:highlight w:val="yellow"/>
        </w:rPr>
        <w:t>2</w:t>
      </w:r>
      <w:r w:rsidR="004027E5">
        <w:rPr>
          <w:b/>
          <w:sz w:val="24"/>
          <w:szCs w:val="24"/>
          <w:highlight w:val="yellow"/>
        </w:rPr>
        <w:t>74</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sidR="004027E5">
        <w:rPr>
          <w:b/>
          <w:sz w:val="24"/>
          <w:szCs w:val="24"/>
          <w:highlight w:val="yellow"/>
        </w:rPr>
        <w:t>4</w:t>
      </w:r>
      <w:r w:rsidRPr="00E823E9">
        <w:rPr>
          <w:b/>
          <w:sz w:val="24"/>
          <w:szCs w:val="24"/>
          <w:highlight w:val="yellow"/>
        </w:rPr>
        <w:t xml:space="preserve">:00 часов (по МСК) </w:t>
      </w:r>
      <w:r w:rsidR="004027E5">
        <w:rPr>
          <w:b/>
          <w:sz w:val="24"/>
          <w:szCs w:val="24"/>
          <w:highlight w:val="yellow"/>
        </w:rPr>
        <w:t>14</w:t>
      </w:r>
      <w:r>
        <w:rPr>
          <w:b/>
          <w:sz w:val="24"/>
          <w:szCs w:val="24"/>
          <w:highlight w:val="yellow"/>
        </w:rPr>
        <w:t>.0</w:t>
      </w:r>
      <w:r w:rsidR="004027E5">
        <w:rPr>
          <w:b/>
          <w:sz w:val="24"/>
          <w:szCs w:val="24"/>
          <w:highlight w:val="yellow"/>
        </w:rPr>
        <w:t>8</w:t>
      </w:r>
      <w:r>
        <w:rPr>
          <w:b/>
          <w:sz w:val="24"/>
          <w:szCs w:val="24"/>
          <w:highlight w:val="yellow"/>
        </w:rPr>
        <w:t>.2024</w:t>
      </w:r>
      <w:r w:rsidRPr="00E823E9">
        <w:rPr>
          <w:b/>
          <w:sz w:val="24"/>
          <w:szCs w:val="24"/>
          <w:highlight w:val="yellow"/>
        </w:rPr>
        <w:t xml:space="preserve">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порядке,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E61DF3"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Закупочная процедура проводится в целях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E61DF3" w:rsidRDefault="00E61DF3" w:rsidP="00E61DF3">
      <w:pPr>
        <w:tabs>
          <w:tab w:val="num" w:pos="0"/>
        </w:tabs>
        <w:spacing w:line="240" w:lineRule="auto"/>
        <w:ind w:firstLine="0"/>
        <w:rPr>
          <w:b/>
          <w:sz w:val="24"/>
          <w:szCs w:val="24"/>
        </w:rPr>
      </w:pPr>
      <w:bookmarkStart w:id="27" w:name="_Toc189545072"/>
      <w:r w:rsidRPr="00BA08E8">
        <w:rPr>
          <w:b/>
          <w:sz w:val="24"/>
          <w:szCs w:val="24"/>
        </w:rPr>
        <w:t>Предметом закупки является:</w:t>
      </w:r>
      <w:bookmarkEnd w:id="27"/>
    </w:p>
    <w:tbl>
      <w:tblPr>
        <w:tblW w:w="9747" w:type="dxa"/>
        <w:tblLayout w:type="fixed"/>
        <w:tblLook w:val="04A0" w:firstRow="1" w:lastRow="0" w:firstColumn="1" w:lastColumn="0" w:noHBand="0" w:noVBand="1"/>
      </w:tblPr>
      <w:tblGrid>
        <w:gridCol w:w="675"/>
        <w:gridCol w:w="5670"/>
        <w:gridCol w:w="1843"/>
        <w:gridCol w:w="1559"/>
      </w:tblGrid>
      <w:tr w:rsidR="002C7CEB" w:rsidRPr="005A5981" w:rsidTr="008F34D2">
        <w:trPr>
          <w:trHeight w:val="300"/>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 п/п</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Наименование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Ед. изм.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CEB" w:rsidRPr="000479CD" w:rsidRDefault="002C7CEB" w:rsidP="002C7CEB">
            <w:pPr>
              <w:spacing w:line="240" w:lineRule="auto"/>
              <w:ind w:firstLine="0"/>
              <w:contextualSpacing/>
              <w:jc w:val="center"/>
              <w:rPr>
                <w:szCs w:val="18"/>
              </w:rPr>
            </w:pPr>
            <w:r w:rsidRPr="000479CD">
              <w:rPr>
                <w:szCs w:val="18"/>
              </w:rPr>
              <w:t>Кол-во</w:t>
            </w:r>
          </w:p>
        </w:tc>
      </w:tr>
      <w:tr w:rsidR="002C7CEB" w:rsidRPr="005A5981" w:rsidTr="008F34D2">
        <w:trPr>
          <w:trHeight w:val="417"/>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2C7CEB" w:rsidRPr="00D03A62" w:rsidRDefault="002C7CEB" w:rsidP="002C7CEB">
            <w:pPr>
              <w:spacing w:line="240" w:lineRule="auto"/>
              <w:ind w:firstLine="0"/>
              <w:contextualSpacing/>
              <w:jc w:val="center"/>
            </w:pPr>
            <w:r w:rsidRPr="00D03A62">
              <w:t>1</w:t>
            </w:r>
          </w:p>
        </w:tc>
        <w:tc>
          <w:tcPr>
            <w:tcW w:w="5670" w:type="dxa"/>
            <w:tcBorders>
              <w:top w:val="single" w:sz="4" w:space="0" w:color="auto"/>
              <w:left w:val="nil"/>
              <w:bottom w:val="single" w:sz="4" w:space="0" w:color="auto"/>
              <w:right w:val="single" w:sz="4" w:space="0" w:color="auto"/>
            </w:tcBorders>
            <w:shd w:val="clear" w:color="000000" w:fill="FFFFFF"/>
            <w:vAlign w:val="center"/>
          </w:tcPr>
          <w:p w:rsidR="002C7CEB" w:rsidRPr="00D03A62" w:rsidRDefault="002C7CEB" w:rsidP="002C7CEB">
            <w:pPr>
              <w:spacing w:line="240" w:lineRule="auto"/>
              <w:ind w:firstLine="0"/>
              <w:contextualSpacing/>
            </w:pPr>
            <w:r w:rsidRPr="007B3DD4">
              <w:t>Пластик АБС HI-121 NP натуральный</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C7CEB" w:rsidRPr="00D03A62" w:rsidRDefault="002C7CEB" w:rsidP="008F34D2">
            <w:pPr>
              <w:spacing w:line="240" w:lineRule="auto"/>
              <w:ind w:firstLine="0"/>
              <w:contextualSpacing/>
              <w:jc w:val="center"/>
            </w:pPr>
            <w:r>
              <w:t>кг</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C7CEB" w:rsidRPr="00D03A62" w:rsidRDefault="004027E5" w:rsidP="008F34D2">
            <w:pPr>
              <w:spacing w:line="240" w:lineRule="auto"/>
              <w:ind w:firstLine="0"/>
              <w:contextualSpacing/>
              <w:jc w:val="right"/>
            </w:pPr>
            <w:r>
              <w:t>10</w:t>
            </w:r>
            <w:r w:rsidR="002C7CEB">
              <w:t xml:space="preserve"> 000,00</w:t>
            </w:r>
          </w:p>
        </w:tc>
      </w:tr>
    </w:tbl>
    <w:p w:rsidR="009F5706" w:rsidRDefault="009F5706" w:rsidP="002C7CEB">
      <w:pPr>
        <w:tabs>
          <w:tab w:val="left" w:pos="426"/>
        </w:tabs>
        <w:spacing w:line="240" w:lineRule="auto"/>
        <w:ind w:firstLine="0"/>
        <w:contextualSpacing/>
        <w:rPr>
          <w:sz w:val="24"/>
          <w:szCs w:val="24"/>
        </w:rPr>
      </w:pPr>
    </w:p>
    <w:p w:rsidR="002C7CEB" w:rsidRDefault="002C7CEB" w:rsidP="009F4837">
      <w:pPr>
        <w:tabs>
          <w:tab w:val="left" w:pos="426"/>
        </w:tabs>
        <w:spacing w:line="240" w:lineRule="auto"/>
        <w:ind w:firstLine="425"/>
        <w:contextualSpacing/>
        <w:rPr>
          <w:sz w:val="24"/>
          <w:szCs w:val="24"/>
        </w:rPr>
      </w:pPr>
      <w:r>
        <w:rPr>
          <w:sz w:val="24"/>
          <w:szCs w:val="24"/>
        </w:rPr>
        <w:t xml:space="preserve">Количество поставляемой продукции </w:t>
      </w:r>
      <w:r w:rsidRPr="008369DB">
        <w:rPr>
          <w:b/>
          <w:sz w:val="24"/>
          <w:szCs w:val="24"/>
        </w:rPr>
        <w:t>нужно увеличивать кратно мешку.</w:t>
      </w:r>
      <w:r>
        <w:rPr>
          <w:sz w:val="24"/>
          <w:szCs w:val="24"/>
        </w:rPr>
        <w:t xml:space="preserve"> </w:t>
      </w:r>
    </w:p>
    <w:p w:rsidR="009F5706" w:rsidRDefault="004F6423" w:rsidP="009F4837">
      <w:pPr>
        <w:tabs>
          <w:tab w:val="left" w:pos="426"/>
        </w:tabs>
        <w:spacing w:line="240" w:lineRule="auto"/>
        <w:ind w:firstLine="425"/>
        <w:contextualSpacing/>
        <w:rPr>
          <w:sz w:val="24"/>
          <w:szCs w:val="24"/>
        </w:rPr>
      </w:pPr>
      <w:r w:rsidRPr="004F6423">
        <w:rPr>
          <w:sz w:val="24"/>
          <w:szCs w:val="24"/>
        </w:rPr>
        <w:t>Открытие отдельно</w:t>
      </w:r>
      <w:r w:rsidR="002C7CEB">
        <w:rPr>
          <w:sz w:val="24"/>
          <w:szCs w:val="24"/>
        </w:rPr>
        <w:t>го</w:t>
      </w:r>
      <w:r w:rsidRPr="004F6423">
        <w:rPr>
          <w:sz w:val="24"/>
          <w:szCs w:val="24"/>
        </w:rPr>
        <w:t xml:space="preserve"> спец. счета</w:t>
      </w:r>
      <w:r w:rsidR="009F7BD7">
        <w:rPr>
          <w:sz w:val="24"/>
          <w:szCs w:val="24"/>
        </w:rPr>
        <w:t xml:space="preserve"> </w:t>
      </w:r>
      <w:r w:rsidR="008369DB">
        <w:rPr>
          <w:sz w:val="24"/>
          <w:szCs w:val="24"/>
        </w:rPr>
        <w:t>не</w:t>
      </w:r>
      <w:r w:rsidRPr="004F6423">
        <w:rPr>
          <w:sz w:val="24"/>
          <w:szCs w:val="24"/>
        </w:rPr>
        <w:t xml:space="preserve"> требуется.</w:t>
      </w:r>
    </w:p>
    <w:p w:rsidR="00F57DEE" w:rsidRDefault="00F57DEE" w:rsidP="009F4837">
      <w:pPr>
        <w:tabs>
          <w:tab w:val="left" w:pos="426"/>
        </w:tabs>
        <w:spacing w:line="240" w:lineRule="auto"/>
        <w:ind w:firstLine="425"/>
        <w:contextualSpacing/>
        <w:rPr>
          <w:sz w:val="24"/>
          <w:szCs w:val="24"/>
        </w:rPr>
      </w:pPr>
      <w:r>
        <w:rPr>
          <w:sz w:val="24"/>
          <w:szCs w:val="24"/>
        </w:rPr>
        <w:t xml:space="preserve">Аналоги </w:t>
      </w:r>
      <w:r w:rsidR="002C7CEB">
        <w:rPr>
          <w:sz w:val="24"/>
          <w:szCs w:val="24"/>
        </w:rPr>
        <w:t xml:space="preserve">не допускаются. </w:t>
      </w:r>
    </w:p>
    <w:p w:rsidR="00E61DF3" w:rsidRDefault="00E61DF3" w:rsidP="00142AD4">
      <w:pPr>
        <w:tabs>
          <w:tab w:val="num" w:pos="0"/>
        </w:tabs>
        <w:spacing w:line="240" w:lineRule="auto"/>
        <w:ind w:firstLine="0"/>
        <w:contextualSpacing/>
        <w:rPr>
          <w:b/>
          <w:sz w:val="24"/>
          <w:szCs w:val="24"/>
        </w:rPr>
      </w:pP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8" w:name="_Toc251847612"/>
      <w:r w:rsidRPr="004F6423">
        <w:rPr>
          <w:rFonts w:ascii="Times New Roman" w:hAnsi="Times New Roman"/>
          <w:sz w:val="24"/>
          <w:szCs w:val="24"/>
        </w:rPr>
        <w:t>Техническая часть</w:t>
      </w:r>
      <w:bookmarkEnd w:id="28"/>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Наименование номенклатуры должно соответствовать названию в коммерческом предложении поставщика.</w:t>
      </w:r>
    </w:p>
    <w:p w:rsid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2C7CEB" w:rsidRDefault="002C7CEB" w:rsidP="004F6423">
      <w:pPr>
        <w:pStyle w:val="af6"/>
        <w:tabs>
          <w:tab w:val="left" w:pos="426"/>
        </w:tabs>
        <w:spacing w:line="240" w:lineRule="auto"/>
        <w:ind w:left="0" w:firstLine="709"/>
        <w:rPr>
          <w:bCs/>
          <w:sz w:val="24"/>
          <w:szCs w:val="24"/>
        </w:rPr>
      </w:pPr>
      <w:r>
        <w:rPr>
          <w:bCs/>
          <w:sz w:val="24"/>
          <w:szCs w:val="24"/>
        </w:rPr>
        <w:t>На продукции должна быть этикетка</w:t>
      </w:r>
      <w:r w:rsidRPr="00710104">
        <w:rPr>
          <w:bCs/>
          <w:sz w:val="24"/>
          <w:szCs w:val="24"/>
        </w:rPr>
        <w:t xml:space="preserve"> с указанием маркировки, артикула, наименованием продукции, колич</w:t>
      </w:r>
      <w:r>
        <w:rPr>
          <w:bCs/>
          <w:sz w:val="24"/>
          <w:szCs w:val="24"/>
        </w:rPr>
        <w:t>ества</w:t>
      </w:r>
      <w:r w:rsidRPr="00710104">
        <w:rPr>
          <w:bCs/>
          <w:sz w:val="24"/>
          <w:szCs w:val="24"/>
        </w:rPr>
        <w:t>.</w:t>
      </w:r>
    </w:p>
    <w:p w:rsidR="002C7CEB" w:rsidRPr="004F6423" w:rsidRDefault="002C7CEB" w:rsidP="004F6423">
      <w:pPr>
        <w:pStyle w:val="af6"/>
        <w:tabs>
          <w:tab w:val="left" w:pos="426"/>
        </w:tabs>
        <w:spacing w:line="240" w:lineRule="auto"/>
        <w:ind w:left="0" w:firstLine="709"/>
        <w:rPr>
          <w:bCs/>
          <w:sz w:val="24"/>
          <w:szCs w:val="24"/>
        </w:rPr>
      </w:pPr>
      <w:r w:rsidRPr="00605153">
        <w:rPr>
          <w:sz w:val="24"/>
          <w:szCs w:val="24"/>
        </w:rPr>
        <w:t>Дата производства</w:t>
      </w:r>
      <w:r>
        <w:rPr>
          <w:sz w:val="24"/>
          <w:szCs w:val="24"/>
        </w:rPr>
        <w:t xml:space="preserve"> поставляемой</w:t>
      </w:r>
      <w:r w:rsidRPr="00605153">
        <w:rPr>
          <w:sz w:val="24"/>
          <w:szCs w:val="24"/>
        </w:rPr>
        <w:t xml:space="preserve"> продукции</w:t>
      </w:r>
      <w:r>
        <w:rPr>
          <w:sz w:val="24"/>
          <w:szCs w:val="24"/>
        </w:rPr>
        <w:t>: 2024г.</w:t>
      </w:r>
    </w:p>
    <w:p w:rsidR="00E61DF3" w:rsidRPr="004F6423" w:rsidRDefault="000D6F8F" w:rsidP="00E61DF3">
      <w:pPr>
        <w:tabs>
          <w:tab w:val="num" w:pos="0"/>
        </w:tabs>
        <w:spacing w:line="240" w:lineRule="auto"/>
        <w:ind w:firstLine="0"/>
        <w:rPr>
          <w:b/>
          <w:bCs/>
          <w:iCs/>
          <w:sz w:val="24"/>
          <w:szCs w:val="24"/>
        </w:rPr>
      </w:pPr>
      <w:r>
        <w:rPr>
          <w:bCs/>
          <w:sz w:val="24"/>
          <w:szCs w:val="24"/>
        </w:rPr>
        <w:tab/>
      </w: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9" w:name="_Toc251847613"/>
      <w:r w:rsidRPr="004F6423">
        <w:rPr>
          <w:rFonts w:ascii="Times New Roman" w:hAnsi="Times New Roman"/>
          <w:sz w:val="24"/>
          <w:szCs w:val="24"/>
        </w:rPr>
        <w:t>Коммерческая часть</w:t>
      </w:r>
      <w:bookmarkEnd w:id="29"/>
    </w:p>
    <w:p w:rsidR="000D6F8F" w:rsidRDefault="009F4837" w:rsidP="004F6423">
      <w:pPr>
        <w:spacing w:line="240" w:lineRule="auto"/>
        <w:ind w:firstLine="709"/>
        <w:contextualSpacing/>
        <w:rPr>
          <w:rFonts w:eastAsia="Calibri"/>
          <w:sz w:val="24"/>
          <w:szCs w:val="24"/>
        </w:rPr>
      </w:pPr>
      <w:r w:rsidRPr="009F4837">
        <w:rPr>
          <w:rFonts w:eastAsia="Calibri"/>
          <w:b/>
          <w:sz w:val="24"/>
          <w:szCs w:val="24"/>
        </w:rPr>
        <w:t>Срок поставки</w:t>
      </w:r>
      <w:r>
        <w:rPr>
          <w:rFonts w:eastAsia="Calibri"/>
          <w:b/>
          <w:sz w:val="24"/>
          <w:szCs w:val="24"/>
        </w:rPr>
        <w:t>:</w:t>
      </w:r>
      <w:r w:rsidR="000D6F8F">
        <w:rPr>
          <w:rFonts w:eastAsia="Calibri"/>
          <w:sz w:val="24"/>
          <w:szCs w:val="24"/>
        </w:rPr>
        <w:t xml:space="preserve"> </w:t>
      </w:r>
      <w:r w:rsidR="002C7CEB">
        <w:rPr>
          <w:rFonts w:eastAsia="Calibri"/>
          <w:sz w:val="24"/>
          <w:szCs w:val="24"/>
        </w:rPr>
        <w:t>август 2024г.</w:t>
      </w:r>
    </w:p>
    <w:p w:rsidR="00142AD4" w:rsidRPr="004F6423" w:rsidRDefault="00142AD4" w:rsidP="004F6423">
      <w:pPr>
        <w:spacing w:line="240" w:lineRule="auto"/>
        <w:ind w:firstLine="709"/>
        <w:contextualSpacing/>
        <w:rPr>
          <w:rFonts w:eastAsia="Calibri"/>
          <w:sz w:val="24"/>
          <w:szCs w:val="24"/>
        </w:rPr>
      </w:pPr>
      <w:r w:rsidRPr="009F4837">
        <w:rPr>
          <w:b/>
          <w:sz w:val="24"/>
          <w:szCs w:val="24"/>
        </w:rPr>
        <w:t xml:space="preserve">Условия </w:t>
      </w:r>
      <w:r w:rsidR="009F4837" w:rsidRPr="009F4837">
        <w:rPr>
          <w:b/>
          <w:sz w:val="24"/>
          <w:szCs w:val="24"/>
        </w:rPr>
        <w:t>доставки</w:t>
      </w:r>
      <w:r w:rsidRPr="004F6423">
        <w:rPr>
          <w:sz w:val="24"/>
          <w:szCs w:val="24"/>
        </w:rPr>
        <w:t>: д</w:t>
      </w:r>
      <w:r w:rsidRPr="004F6423">
        <w:rPr>
          <w:rFonts w:eastAsia="Calibri"/>
          <w:sz w:val="24"/>
          <w:szCs w:val="24"/>
        </w:rPr>
        <w:t>оставка продукции до склада АО «СТЗ» возможна любым видом транспорта, желательно, чтобы была включена в стоимость товара.</w:t>
      </w:r>
    </w:p>
    <w:p w:rsidR="00142AD4" w:rsidRPr="004F6423" w:rsidRDefault="00142AD4" w:rsidP="004F6423">
      <w:pPr>
        <w:pStyle w:val="af6"/>
        <w:tabs>
          <w:tab w:val="left" w:pos="426"/>
        </w:tabs>
        <w:spacing w:line="240" w:lineRule="auto"/>
        <w:ind w:left="0" w:firstLine="709"/>
        <w:rPr>
          <w:rFonts w:eastAsia="Calibri"/>
          <w:sz w:val="24"/>
          <w:szCs w:val="24"/>
        </w:rPr>
      </w:pPr>
      <w:r w:rsidRPr="009F4837">
        <w:rPr>
          <w:b/>
          <w:sz w:val="24"/>
          <w:szCs w:val="24"/>
        </w:rPr>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т.ч.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30" w:name="_Toc189545073"/>
      <w:r w:rsidRPr="004F6423">
        <w:rPr>
          <w:sz w:val="24"/>
          <w:szCs w:val="24"/>
        </w:rPr>
        <w:t>Предложения</w:t>
      </w:r>
      <w:r w:rsidRPr="004F6423">
        <w:rPr>
          <w:b/>
          <w:sz w:val="24"/>
          <w:szCs w:val="24"/>
        </w:rPr>
        <w:t xml:space="preserve"> </w:t>
      </w:r>
      <w:r w:rsidRPr="004F6423">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1" w:name="_Toc251847614"/>
      <w:bookmarkStart w:id="32" w:name="_Ref55300680"/>
      <w:bookmarkStart w:id="33" w:name="_Toc55305378"/>
      <w:bookmarkStart w:id="34" w:name="_Toc57314640"/>
      <w:bookmarkStart w:id="35" w:name="_Toc69728963"/>
      <w:bookmarkStart w:id="36" w:name="ИНСТРУКЦИИ"/>
      <w:bookmarkStart w:id="37" w:name="_Toc189545074"/>
      <w:bookmarkEnd w:id="30"/>
      <w:r w:rsidRPr="00BA08E8">
        <w:rPr>
          <w:rFonts w:ascii="Times New Roman" w:hAnsi="Times New Roman"/>
          <w:sz w:val="24"/>
          <w:szCs w:val="24"/>
        </w:rPr>
        <w:lastRenderedPageBreak/>
        <w:t>Требования к Участникам и документы, подлежащие предоставлению</w:t>
      </w:r>
      <w:bookmarkEnd w:id="31"/>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8" w:name="_Toc251847615"/>
      <w:bookmarkStart w:id="39" w:name="_Ref93088240"/>
      <w:bookmarkStart w:id="40" w:name="_Toc189545078"/>
      <w:r w:rsidRPr="00BA08E8">
        <w:rPr>
          <w:rFonts w:ascii="Times New Roman" w:hAnsi="Times New Roman"/>
          <w:sz w:val="24"/>
          <w:szCs w:val="24"/>
        </w:rPr>
        <w:t>Требования к Участникам</w:t>
      </w:r>
      <w:bookmarkEnd w:id="38"/>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9"/>
      <w:bookmarkEnd w:id="40"/>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быть зарегистрирован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организация не должна находиться под процедурой банкротства, в процессе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1" w:name="_Ref86827631"/>
      <w:bookmarkStart w:id="42" w:name="_Toc90385072"/>
      <w:bookmarkStart w:id="43" w:name="_Toc98253995"/>
      <w:bookmarkStart w:id="44" w:name="_Toc140817633"/>
      <w:bookmarkStart w:id="45" w:name="_Toc251847616"/>
      <w:r w:rsidRPr="00BA08E8">
        <w:rPr>
          <w:rFonts w:ascii="Times New Roman" w:hAnsi="Times New Roman"/>
          <w:sz w:val="24"/>
          <w:szCs w:val="24"/>
        </w:rPr>
        <w:t>Требования к документам</w:t>
      </w:r>
      <w:bookmarkEnd w:id="41"/>
      <w:bookmarkEnd w:id="42"/>
      <w:bookmarkEnd w:id="43"/>
      <w:bookmarkEnd w:id="44"/>
      <w:bookmarkEnd w:id="45"/>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2"/>
      <w:bookmarkEnd w:id="33"/>
      <w:bookmarkEnd w:id="34"/>
      <w:bookmarkEnd w:id="35"/>
      <w:bookmarkEnd w:id="36"/>
      <w:bookmarkEnd w:id="37"/>
      <w:r w:rsidRPr="00BA08E8">
        <w:rPr>
          <w:rFonts w:ascii="Times New Roman" w:hAnsi="Times New Roman"/>
          <w:sz w:val="24"/>
          <w:szCs w:val="24"/>
        </w:rPr>
        <w:lastRenderedPageBreak/>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8"/>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9"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9"/>
    </w:p>
    <w:p w:rsidR="00E61DF3" w:rsidRPr="00BA08E8" w:rsidRDefault="00E61DF3" w:rsidP="00E61DF3">
      <w:pPr>
        <w:tabs>
          <w:tab w:val="num" w:pos="0"/>
        </w:tabs>
        <w:spacing w:line="240" w:lineRule="auto"/>
        <w:ind w:firstLine="0"/>
        <w:rPr>
          <w:sz w:val="24"/>
          <w:szCs w:val="24"/>
        </w:rPr>
      </w:pPr>
      <w:bookmarkStart w:id="60" w:name="_Ref55279015"/>
      <w:bookmarkStart w:id="61"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1"/>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2" w:name="_Ref56220439"/>
      <w:bookmarkStart w:id="63" w:name="_Ref56233643"/>
      <w:bookmarkStart w:id="64" w:name="_Ref56235653"/>
      <w:bookmarkStart w:id="65"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2"/>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6" w:name="_Toc57314647"/>
      <w:bookmarkStart w:id="67" w:name="_Toc98253989"/>
      <w:bookmarkStart w:id="68" w:name="_Toc140817628"/>
      <w:bookmarkStart w:id="69" w:name="_Toc251847619"/>
      <w:bookmarkEnd w:id="63"/>
      <w:bookmarkEnd w:id="64"/>
      <w:bookmarkEnd w:id="65"/>
      <w:r w:rsidRPr="00BA08E8">
        <w:rPr>
          <w:rFonts w:ascii="Times New Roman" w:hAnsi="Times New Roman"/>
          <w:sz w:val="24"/>
          <w:szCs w:val="24"/>
        </w:rPr>
        <w:t xml:space="preserve">Требования к языку </w:t>
      </w:r>
      <w:bookmarkEnd w:id="66"/>
      <w:r w:rsidRPr="00BA08E8">
        <w:rPr>
          <w:rFonts w:ascii="Times New Roman" w:hAnsi="Times New Roman"/>
          <w:sz w:val="24"/>
          <w:szCs w:val="24"/>
        </w:rPr>
        <w:t>Предложения</w:t>
      </w:r>
      <w:bookmarkEnd w:id="67"/>
      <w:bookmarkEnd w:id="68"/>
      <w:bookmarkEnd w:id="69"/>
    </w:p>
    <w:p w:rsidR="00E61DF3" w:rsidRPr="00BA08E8" w:rsidRDefault="00E61DF3" w:rsidP="00E61DF3">
      <w:pPr>
        <w:tabs>
          <w:tab w:val="num" w:pos="0"/>
        </w:tabs>
        <w:spacing w:line="240" w:lineRule="auto"/>
        <w:ind w:firstLine="0"/>
        <w:rPr>
          <w:sz w:val="24"/>
          <w:szCs w:val="24"/>
        </w:rPr>
      </w:pPr>
      <w:bookmarkStart w:id="70"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1" w:name="_Hlt40850038"/>
      <w:bookmarkEnd w:id="7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53"/>
      <w:bookmarkStart w:id="73" w:name="_Toc98253991"/>
      <w:bookmarkStart w:id="74" w:name="_Toc140817629"/>
      <w:bookmarkStart w:id="75" w:name="_Toc251847620"/>
      <w:bookmarkEnd w:id="70"/>
      <w:r w:rsidRPr="00BA08E8">
        <w:rPr>
          <w:rFonts w:ascii="Times New Roman" w:hAnsi="Times New Roman"/>
          <w:sz w:val="24"/>
          <w:szCs w:val="24"/>
        </w:rPr>
        <w:lastRenderedPageBreak/>
        <w:t xml:space="preserve">Разъяснение </w:t>
      </w:r>
      <w:bookmarkEnd w:id="72"/>
      <w:r w:rsidRPr="00BA08E8">
        <w:rPr>
          <w:rFonts w:ascii="Times New Roman" w:hAnsi="Times New Roman"/>
          <w:sz w:val="24"/>
          <w:szCs w:val="24"/>
        </w:rPr>
        <w:t>закупочной Документации</w:t>
      </w:r>
      <w:bookmarkEnd w:id="73"/>
      <w:bookmarkEnd w:id="74"/>
      <w:bookmarkEnd w:id="75"/>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Ref86823116"/>
      <w:bookmarkStart w:id="77" w:name="_Toc90385058"/>
      <w:bookmarkStart w:id="78" w:name="_Toc98253992"/>
      <w:bookmarkStart w:id="79" w:name="_Toc140817630"/>
      <w:bookmarkStart w:id="80" w:name="_Toc251847621"/>
      <w:r w:rsidRPr="00BA08E8">
        <w:rPr>
          <w:rFonts w:ascii="Times New Roman" w:hAnsi="Times New Roman"/>
          <w:sz w:val="24"/>
          <w:szCs w:val="24"/>
        </w:rPr>
        <w:t xml:space="preserve">Продление срока окончания приема </w:t>
      </w:r>
      <w:bookmarkEnd w:id="76"/>
      <w:bookmarkEnd w:id="77"/>
      <w:r w:rsidRPr="00BA08E8">
        <w:rPr>
          <w:rFonts w:ascii="Times New Roman" w:hAnsi="Times New Roman"/>
          <w:sz w:val="24"/>
          <w:szCs w:val="24"/>
        </w:rPr>
        <w:t>Предложений</w:t>
      </w:r>
      <w:bookmarkEnd w:id="78"/>
      <w:bookmarkEnd w:id="79"/>
      <w:bookmarkEnd w:id="80"/>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1"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Toc251847622"/>
      <w:r w:rsidRPr="00BA08E8">
        <w:rPr>
          <w:rFonts w:ascii="Times New Roman" w:hAnsi="Times New Roman"/>
          <w:sz w:val="24"/>
          <w:szCs w:val="24"/>
        </w:rPr>
        <w:t>Подача предложений и их прием</w:t>
      </w:r>
      <w:bookmarkEnd w:id="82"/>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Порядок подачи предложений в соответствии с требованиями Кодекса «Закупочные процедуры в АО «СТЗ»» /</w:t>
      </w:r>
      <w:r w:rsidRPr="00945961">
        <w:rPr>
          <w:sz w:val="24"/>
        </w:rPr>
        <w:t xml:space="preserve"> установленным ЭТП порядком.</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1"/>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5C05CB" w:rsidRDefault="005C05CB" w:rsidP="005C05CB">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5C05CB" w:rsidRDefault="005C05CB" w:rsidP="005C05CB">
      <w:pPr>
        <w:numPr>
          <w:ilvl w:val="0"/>
          <w:numId w:val="22"/>
        </w:numPr>
        <w:tabs>
          <w:tab w:val="num" w:pos="0"/>
        </w:tabs>
        <w:spacing w:line="240" w:lineRule="auto"/>
        <w:ind w:left="0" w:firstLine="0"/>
        <w:rPr>
          <w:sz w:val="24"/>
          <w:szCs w:val="24"/>
        </w:rPr>
      </w:pPr>
      <w:r>
        <w:rPr>
          <w:sz w:val="24"/>
          <w:szCs w:val="24"/>
        </w:rPr>
        <w:t>стоимость товаров – по наименьшей цене;</w:t>
      </w:r>
    </w:p>
    <w:p w:rsidR="005C05CB" w:rsidRDefault="005C05CB" w:rsidP="005C05CB">
      <w:pPr>
        <w:numPr>
          <w:ilvl w:val="0"/>
          <w:numId w:val="22"/>
        </w:numPr>
        <w:tabs>
          <w:tab w:val="num" w:pos="0"/>
        </w:tabs>
        <w:spacing w:line="240" w:lineRule="auto"/>
        <w:ind w:left="0" w:firstLine="0"/>
        <w:rPr>
          <w:sz w:val="24"/>
          <w:szCs w:val="24"/>
        </w:rPr>
      </w:pPr>
      <w:r>
        <w:rPr>
          <w:sz w:val="24"/>
          <w:szCs w:val="24"/>
        </w:rPr>
        <w:t>тех. характеристики – соответствует;</w:t>
      </w:r>
    </w:p>
    <w:p w:rsidR="005C05CB" w:rsidRDefault="005C05CB" w:rsidP="005C05CB">
      <w:pPr>
        <w:numPr>
          <w:ilvl w:val="0"/>
          <w:numId w:val="22"/>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5C05CB" w:rsidRDefault="005C05CB" w:rsidP="005C05CB">
      <w:pPr>
        <w:numPr>
          <w:ilvl w:val="0"/>
          <w:numId w:val="22"/>
        </w:numPr>
        <w:tabs>
          <w:tab w:val="num" w:pos="0"/>
        </w:tabs>
        <w:spacing w:line="240" w:lineRule="auto"/>
        <w:ind w:left="0" w:firstLine="0"/>
        <w:rPr>
          <w:sz w:val="24"/>
          <w:szCs w:val="24"/>
        </w:rPr>
      </w:pPr>
      <w:r>
        <w:rPr>
          <w:sz w:val="24"/>
          <w:szCs w:val="24"/>
        </w:rPr>
        <w:t>сроки поставки продукции – соответствует;</w:t>
      </w:r>
    </w:p>
    <w:p w:rsidR="005C05CB" w:rsidRDefault="005C05CB" w:rsidP="005C05CB">
      <w:pPr>
        <w:numPr>
          <w:ilvl w:val="0"/>
          <w:numId w:val="22"/>
        </w:numPr>
        <w:tabs>
          <w:tab w:val="num" w:pos="0"/>
        </w:tabs>
        <w:spacing w:line="240" w:lineRule="auto"/>
        <w:ind w:left="0" w:firstLine="0"/>
        <w:rPr>
          <w:sz w:val="24"/>
          <w:szCs w:val="24"/>
        </w:rPr>
      </w:pPr>
      <w:bookmarkStart w:id="103" w:name="_Ref56222744"/>
      <w:r>
        <w:rPr>
          <w:sz w:val="24"/>
          <w:szCs w:val="24"/>
        </w:rPr>
        <w:t>опыт, ресурсные возможности и деловая репутация Участника – по итогам аккредитации.</w:t>
      </w:r>
      <w:bookmarkEnd w:id="103"/>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r w:rsidRPr="00573CF4">
        <w:rPr>
          <w:rFonts w:ascii="Times New Roman" w:hAnsi="Times New Roman"/>
          <w:b w:val="0"/>
          <w:sz w:val="24"/>
          <w:szCs w:val="24"/>
          <w:shd w:val="clear" w:color="auto" w:fill="FFFFFF"/>
        </w:rPr>
        <w:t>аффилированности</w:t>
      </w:r>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течение 10 р. дн.</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п/п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отклонение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к/п_____________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соответствии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в целях</w:t>
      </w:r>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адрес места нахождения: 107023, г. Москва, вн. тер. г.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Садовая-Триумфальная,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«Кронос-Информ»</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иные сведения, которые могут стать доступны в процессе обработки моих персональных данных.</w:t>
      </w:r>
    </w:p>
    <w:p w:rsidR="00F15542" w:rsidRPr="004E784C" w:rsidRDefault="00F15542" w:rsidP="00F15542">
      <w:pPr>
        <w:spacing w:line="240" w:lineRule="auto"/>
        <w:contextualSpacing/>
        <w:rPr>
          <w:sz w:val="24"/>
          <w:szCs w:val="24"/>
        </w:rPr>
      </w:pPr>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F15542" w:rsidRPr="004E784C" w:rsidRDefault="00F15542" w:rsidP="00F15542">
      <w:pPr>
        <w:spacing w:line="240" w:lineRule="auto"/>
        <w:rPr>
          <w:sz w:val="24"/>
          <w:szCs w:val="24"/>
        </w:rPr>
      </w:pPr>
      <w:r w:rsidRPr="004E784C">
        <w:rPr>
          <w:sz w:val="24"/>
          <w:szCs w:val="24"/>
        </w:rPr>
        <w:t>Настоящее согласие действует в течение 5 (пяти) лет с даты написания.</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68" w:rsidRDefault="00122268" w:rsidP="00B768EC">
      <w:pPr>
        <w:spacing w:line="240" w:lineRule="auto"/>
      </w:pPr>
      <w:r>
        <w:separator/>
      </w:r>
    </w:p>
  </w:endnote>
  <w:endnote w:type="continuationSeparator" w:id="0">
    <w:p w:rsidR="00122268" w:rsidRDefault="00122268"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70076"/>
      <w:docPartObj>
        <w:docPartGallery w:val="Page Numbers (Bottom of Page)"/>
        <w:docPartUnique/>
      </w:docPartObj>
    </w:sdtPr>
    <w:sdtEndPr/>
    <w:sdtContent>
      <w:p w:rsidR="009F4837" w:rsidRDefault="009F4837">
        <w:pPr>
          <w:pStyle w:val="ad"/>
          <w:jc w:val="right"/>
        </w:pPr>
        <w:r>
          <w:fldChar w:fldCharType="begin"/>
        </w:r>
        <w:r>
          <w:instrText xml:space="preserve"> PAGE   \* MERGEFORMAT </w:instrText>
        </w:r>
        <w:r>
          <w:fldChar w:fldCharType="separate"/>
        </w:r>
        <w:r w:rsidR="004027E5">
          <w:rPr>
            <w:noProof/>
          </w:rPr>
          <w:t>3</w:t>
        </w:r>
        <w:r>
          <w:rPr>
            <w:noProof/>
          </w:rPr>
          <w:fldChar w:fldCharType="end"/>
        </w:r>
      </w:p>
    </w:sdtContent>
  </w:sdt>
  <w:p w:rsidR="009F4837" w:rsidRDefault="009F48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68" w:rsidRDefault="00122268" w:rsidP="00B768EC">
      <w:pPr>
        <w:spacing w:line="240" w:lineRule="auto"/>
      </w:pPr>
      <w:r>
        <w:separator/>
      </w:r>
    </w:p>
  </w:footnote>
  <w:footnote w:type="continuationSeparator" w:id="0">
    <w:p w:rsidR="00122268" w:rsidRDefault="00122268" w:rsidP="00B768EC">
      <w:pPr>
        <w:spacing w:line="240" w:lineRule="auto"/>
      </w:pPr>
      <w:r>
        <w:continuationSeparator/>
      </w:r>
    </w:p>
  </w:footnote>
  <w:footnote w:id="1">
    <w:p w:rsidR="009F4837" w:rsidRDefault="009F4837" w:rsidP="00F15542">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10"/>
  </w:num>
  <w:num w:numId="6">
    <w:abstractNumId w:val="13"/>
  </w:num>
  <w:num w:numId="7">
    <w:abstractNumId w:val="14"/>
  </w:num>
  <w:num w:numId="8">
    <w:abstractNumId w:val="6"/>
  </w:num>
  <w:num w:numId="9">
    <w:abstractNumId w:val="19"/>
  </w:num>
  <w:num w:numId="10">
    <w:abstractNumId w:val="8"/>
  </w:num>
  <w:num w:numId="11">
    <w:abstractNumId w:val="15"/>
  </w:num>
  <w:num w:numId="12">
    <w:abstractNumId w:val="5"/>
  </w:num>
  <w:num w:numId="13">
    <w:abstractNumId w:val="2"/>
  </w:num>
  <w:num w:numId="14">
    <w:abstractNumId w:val="4"/>
  </w:num>
  <w:num w:numId="15">
    <w:abstractNumId w:val="11"/>
  </w:num>
  <w:num w:numId="16">
    <w:abstractNumId w:val="18"/>
  </w:num>
  <w:num w:numId="17">
    <w:abstractNumId w:val="17"/>
  </w:num>
  <w:num w:numId="18">
    <w:abstractNumId w:val="0"/>
  </w:num>
  <w:num w:numId="19">
    <w:abstractNumId w:val="3"/>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200AC"/>
    <w:rsid w:val="0003123C"/>
    <w:rsid w:val="00057C0F"/>
    <w:rsid w:val="00086147"/>
    <w:rsid w:val="000B66B1"/>
    <w:rsid w:val="000D6F8F"/>
    <w:rsid w:val="000D72D6"/>
    <w:rsid w:val="000E1B34"/>
    <w:rsid w:val="000E4F9C"/>
    <w:rsid w:val="000E53E8"/>
    <w:rsid w:val="000F011F"/>
    <w:rsid w:val="00117D1E"/>
    <w:rsid w:val="00122268"/>
    <w:rsid w:val="001360E5"/>
    <w:rsid w:val="00142AD4"/>
    <w:rsid w:val="00161981"/>
    <w:rsid w:val="001652F5"/>
    <w:rsid w:val="00197561"/>
    <w:rsid w:val="001A3BB5"/>
    <w:rsid w:val="001B3F61"/>
    <w:rsid w:val="001D2136"/>
    <w:rsid w:val="001E1B94"/>
    <w:rsid w:val="00225626"/>
    <w:rsid w:val="00246383"/>
    <w:rsid w:val="00252677"/>
    <w:rsid w:val="00252EED"/>
    <w:rsid w:val="00253A7E"/>
    <w:rsid w:val="00280ED4"/>
    <w:rsid w:val="00282B22"/>
    <w:rsid w:val="00291F40"/>
    <w:rsid w:val="002C7CEB"/>
    <w:rsid w:val="002D2A3C"/>
    <w:rsid w:val="002D37F6"/>
    <w:rsid w:val="002F54EC"/>
    <w:rsid w:val="002F681F"/>
    <w:rsid w:val="00337E53"/>
    <w:rsid w:val="00353B92"/>
    <w:rsid w:val="00371CFB"/>
    <w:rsid w:val="003757C5"/>
    <w:rsid w:val="003A2BCB"/>
    <w:rsid w:val="003B373A"/>
    <w:rsid w:val="004027E5"/>
    <w:rsid w:val="00402B9B"/>
    <w:rsid w:val="00410B83"/>
    <w:rsid w:val="004346E4"/>
    <w:rsid w:val="00436217"/>
    <w:rsid w:val="0048372F"/>
    <w:rsid w:val="004844AE"/>
    <w:rsid w:val="004930F2"/>
    <w:rsid w:val="00493344"/>
    <w:rsid w:val="004B3E17"/>
    <w:rsid w:val="004C38BC"/>
    <w:rsid w:val="004F6423"/>
    <w:rsid w:val="00510F2F"/>
    <w:rsid w:val="00527842"/>
    <w:rsid w:val="00545E2A"/>
    <w:rsid w:val="0055540D"/>
    <w:rsid w:val="00557613"/>
    <w:rsid w:val="00573BFD"/>
    <w:rsid w:val="005A60E0"/>
    <w:rsid w:val="005B3B36"/>
    <w:rsid w:val="005B510B"/>
    <w:rsid w:val="005C05CB"/>
    <w:rsid w:val="005D09CD"/>
    <w:rsid w:val="005D593F"/>
    <w:rsid w:val="005F209B"/>
    <w:rsid w:val="00626276"/>
    <w:rsid w:val="006762FF"/>
    <w:rsid w:val="00683A6E"/>
    <w:rsid w:val="00695F5C"/>
    <w:rsid w:val="006A32F5"/>
    <w:rsid w:val="006B1D09"/>
    <w:rsid w:val="006B52DE"/>
    <w:rsid w:val="006B6F7A"/>
    <w:rsid w:val="006F0C2E"/>
    <w:rsid w:val="00714E73"/>
    <w:rsid w:val="0072726B"/>
    <w:rsid w:val="00743975"/>
    <w:rsid w:val="0074524E"/>
    <w:rsid w:val="00761CFC"/>
    <w:rsid w:val="00786F70"/>
    <w:rsid w:val="007879DE"/>
    <w:rsid w:val="007B2A67"/>
    <w:rsid w:val="007D28F6"/>
    <w:rsid w:val="007D4E97"/>
    <w:rsid w:val="00835FB5"/>
    <w:rsid w:val="008369DB"/>
    <w:rsid w:val="008435A2"/>
    <w:rsid w:val="00872ED6"/>
    <w:rsid w:val="008744E0"/>
    <w:rsid w:val="00884D8C"/>
    <w:rsid w:val="00887A45"/>
    <w:rsid w:val="00893081"/>
    <w:rsid w:val="008B22F4"/>
    <w:rsid w:val="008B53CD"/>
    <w:rsid w:val="008C21CD"/>
    <w:rsid w:val="008F2673"/>
    <w:rsid w:val="008F34D2"/>
    <w:rsid w:val="00923E44"/>
    <w:rsid w:val="00967D57"/>
    <w:rsid w:val="00967E4B"/>
    <w:rsid w:val="00970AEC"/>
    <w:rsid w:val="009749A9"/>
    <w:rsid w:val="00981411"/>
    <w:rsid w:val="00986791"/>
    <w:rsid w:val="00995F72"/>
    <w:rsid w:val="009C73B4"/>
    <w:rsid w:val="009E29C8"/>
    <w:rsid w:val="009E5403"/>
    <w:rsid w:val="009F4837"/>
    <w:rsid w:val="009F5706"/>
    <w:rsid w:val="009F6DCB"/>
    <w:rsid w:val="009F7BD7"/>
    <w:rsid w:val="00A07427"/>
    <w:rsid w:val="00A103DA"/>
    <w:rsid w:val="00A22398"/>
    <w:rsid w:val="00A3507B"/>
    <w:rsid w:val="00A5096F"/>
    <w:rsid w:val="00A73B25"/>
    <w:rsid w:val="00A8094C"/>
    <w:rsid w:val="00A9685E"/>
    <w:rsid w:val="00AC0410"/>
    <w:rsid w:val="00AE053B"/>
    <w:rsid w:val="00AE7C5D"/>
    <w:rsid w:val="00B169BE"/>
    <w:rsid w:val="00B27982"/>
    <w:rsid w:val="00B279F0"/>
    <w:rsid w:val="00B301EE"/>
    <w:rsid w:val="00B30CF2"/>
    <w:rsid w:val="00B31F42"/>
    <w:rsid w:val="00B628CB"/>
    <w:rsid w:val="00B71CA7"/>
    <w:rsid w:val="00B768EC"/>
    <w:rsid w:val="00B801B6"/>
    <w:rsid w:val="00B91D18"/>
    <w:rsid w:val="00BB28DD"/>
    <w:rsid w:val="00BB41E1"/>
    <w:rsid w:val="00BC3B52"/>
    <w:rsid w:val="00BD21EA"/>
    <w:rsid w:val="00C229B6"/>
    <w:rsid w:val="00C3391A"/>
    <w:rsid w:val="00C42D4E"/>
    <w:rsid w:val="00C449D6"/>
    <w:rsid w:val="00C46A53"/>
    <w:rsid w:val="00C8428A"/>
    <w:rsid w:val="00C84DF7"/>
    <w:rsid w:val="00C9535C"/>
    <w:rsid w:val="00C97038"/>
    <w:rsid w:val="00CC6AA2"/>
    <w:rsid w:val="00CD14A2"/>
    <w:rsid w:val="00D14AF7"/>
    <w:rsid w:val="00D16ACD"/>
    <w:rsid w:val="00D233A4"/>
    <w:rsid w:val="00D73A3C"/>
    <w:rsid w:val="00D8756C"/>
    <w:rsid w:val="00DD4DCC"/>
    <w:rsid w:val="00DF0930"/>
    <w:rsid w:val="00E1161F"/>
    <w:rsid w:val="00E16C23"/>
    <w:rsid w:val="00E322EC"/>
    <w:rsid w:val="00E61DF3"/>
    <w:rsid w:val="00E823E9"/>
    <w:rsid w:val="00E87B35"/>
    <w:rsid w:val="00E95456"/>
    <w:rsid w:val="00EA01FC"/>
    <w:rsid w:val="00EA1953"/>
    <w:rsid w:val="00EF3145"/>
    <w:rsid w:val="00F15542"/>
    <w:rsid w:val="00F230EC"/>
    <w:rsid w:val="00F2391C"/>
    <w:rsid w:val="00F32366"/>
    <w:rsid w:val="00F40000"/>
    <w:rsid w:val="00F57DEE"/>
    <w:rsid w:val="00F655D3"/>
    <w:rsid w:val="00F86D7A"/>
    <w:rsid w:val="00F970B0"/>
    <w:rsid w:val="00FB193E"/>
    <w:rsid w:val="00FE2615"/>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72905-BD0C-4123-A7F1-C3DF678E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60870086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0A5C-D79E-4C61-980D-E38BE061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98</cp:revision>
  <cp:lastPrinted>2010-12-21T12:55:00Z</cp:lastPrinted>
  <dcterms:created xsi:type="dcterms:W3CDTF">2022-08-09T06:34:00Z</dcterms:created>
  <dcterms:modified xsi:type="dcterms:W3CDTF">2024-08-01T06:39:00Z</dcterms:modified>
</cp:coreProperties>
</file>